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3BFC9" w14:textId="77777777" w:rsidR="00731CDC" w:rsidRDefault="00731CDC" w:rsidP="00731CDC">
      <w:pPr>
        <w:ind w:left="3600" w:firstLine="720"/>
      </w:pPr>
    </w:p>
    <w:p w14:paraId="0E6F5823" w14:textId="77777777" w:rsidR="00731CDC" w:rsidRDefault="00731CDC" w:rsidP="00731CDC">
      <w:pPr>
        <w:ind w:left="3600" w:firstLine="720"/>
      </w:pPr>
    </w:p>
    <w:p w14:paraId="4C0E89CA" w14:textId="77777777" w:rsidR="00731CDC" w:rsidRDefault="00731CDC" w:rsidP="00731CDC">
      <w:pPr>
        <w:ind w:left="3600" w:firstLine="720"/>
      </w:pPr>
    </w:p>
    <w:p w14:paraId="0D4F2932" w14:textId="77777777" w:rsidR="00731CDC" w:rsidRDefault="00731CDC" w:rsidP="00731CDC">
      <w:pPr>
        <w:ind w:left="3600" w:firstLine="720"/>
      </w:pPr>
    </w:p>
    <w:p w14:paraId="6EB42626" w14:textId="77777777" w:rsidR="00731CDC" w:rsidRDefault="00731CDC" w:rsidP="00731CDC">
      <w:pPr>
        <w:ind w:left="3600" w:firstLine="720"/>
      </w:pPr>
    </w:p>
    <w:p w14:paraId="7BB84A92" w14:textId="77777777" w:rsidR="00731CDC" w:rsidRDefault="00731CDC" w:rsidP="00731CDC">
      <w:pPr>
        <w:ind w:left="3600" w:firstLine="720"/>
      </w:pPr>
    </w:p>
    <w:p w14:paraId="0E72FCB7" w14:textId="77777777" w:rsidR="00731CDC" w:rsidRDefault="00731CDC" w:rsidP="00731CDC">
      <w:pPr>
        <w:ind w:left="3600" w:firstLine="720"/>
      </w:pPr>
    </w:p>
    <w:p w14:paraId="30E02314" w14:textId="77777777" w:rsidR="00731CDC" w:rsidRDefault="00731CDC" w:rsidP="00731CDC">
      <w:pPr>
        <w:ind w:left="3600" w:firstLine="720"/>
      </w:pPr>
    </w:p>
    <w:p w14:paraId="3E7F88A4" w14:textId="77777777" w:rsidR="00731CDC" w:rsidRDefault="00731CDC" w:rsidP="00731CDC">
      <w:pPr>
        <w:ind w:left="3600" w:firstLine="720"/>
      </w:pPr>
    </w:p>
    <w:p w14:paraId="34D2598C" w14:textId="77777777" w:rsidR="00731CDC" w:rsidRDefault="00731CDC" w:rsidP="00731CDC">
      <w:pPr>
        <w:ind w:left="3600" w:firstLine="720"/>
      </w:pPr>
    </w:p>
    <w:p w14:paraId="27424FA6" w14:textId="77777777" w:rsidR="00731CDC" w:rsidRDefault="00731CDC" w:rsidP="00731CDC">
      <w:pPr>
        <w:ind w:left="3600" w:firstLine="720"/>
      </w:pPr>
    </w:p>
    <w:p w14:paraId="495E7AC5" w14:textId="77777777" w:rsidR="00731CDC" w:rsidRDefault="00731CDC" w:rsidP="00731CDC">
      <w:pPr>
        <w:ind w:left="3600" w:firstLine="720"/>
        <w:jc w:val="center"/>
      </w:pPr>
    </w:p>
    <w:p w14:paraId="2405FE06" w14:textId="77777777" w:rsidR="00731CDC" w:rsidRDefault="00731CDC" w:rsidP="00B2573A">
      <w:pPr>
        <w:ind w:left="3600" w:firstLine="720"/>
        <w:jc w:val="center"/>
      </w:pPr>
    </w:p>
    <w:p w14:paraId="0FE222D2" w14:textId="77777777" w:rsidR="00B2573A" w:rsidRDefault="00B2573A" w:rsidP="00B2573A">
      <w:pPr>
        <w:jc w:val="center"/>
      </w:pPr>
      <w:r>
        <w:t>Black Wall Street</w:t>
      </w:r>
      <w:r>
        <w:t xml:space="preserve"> </w:t>
      </w:r>
    </w:p>
    <w:p w14:paraId="0B8213C3" w14:textId="6291D696" w:rsidR="00731CDC" w:rsidRDefault="00B2573A" w:rsidP="00B2573A">
      <w:pPr>
        <w:jc w:val="center"/>
      </w:pPr>
      <w:r>
        <w:t xml:space="preserve">Student’s </w:t>
      </w:r>
      <w:r w:rsidR="00731CDC">
        <w:t>Name</w:t>
      </w:r>
    </w:p>
    <w:p w14:paraId="183CE7D9" w14:textId="77777777" w:rsidR="00731CDC" w:rsidRDefault="00731CDC" w:rsidP="00B2573A">
      <w:pPr>
        <w:jc w:val="center"/>
      </w:pPr>
      <w:r>
        <w:t>Institutional Affiliation</w:t>
      </w:r>
    </w:p>
    <w:p w14:paraId="172527F6" w14:textId="209539E1" w:rsidR="00731CDC" w:rsidRDefault="00731CDC" w:rsidP="00B2573A">
      <w:pPr>
        <w:jc w:val="center"/>
      </w:pPr>
      <w:r>
        <w:t>Course</w:t>
      </w:r>
    </w:p>
    <w:p w14:paraId="17DA35A5" w14:textId="77777777" w:rsidR="00731CDC" w:rsidRDefault="00731CDC" w:rsidP="00731CDC">
      <w:pPr>
        <w:jc w:val="center"/>
      </w:pPr>
      <w:r>
        <w:br w:type="page"/>
      </w:r>
    </w:p>
    <w:p w14:paraId="1B0B6E5A" w14:textId="667C37BC" w:rsidR="00731CDC" w:rsidRDefault="00B2573A" w:rsidP="00731CDC">
      <w:pPr>
        <w:jc w:val="center"/>
      </w:pPr>
      <w:r>
        <w:lastRenderedPageBreak/>
        <w:t>Black Wall Street</w:t>
      </w:r>
      <w:bookmarkStart w:id="0" w:name="_GoBack"/>
      <w:bookmarkEnd w:id="0"/>
    </w:p>
    <w:p w14:paraId="03CC36FA" w14:textId="3057109D" w:rsidR="00881E58" w:rsidRDefault="00881E58" w:rsidP="00EF31F1">
      <w:pPr>
        <w:spacing w:line="240" w:lineRule="auto"/>
        <w:ind w:firstLine="720"/>
      </w:pPr>
      <w:r>
        <w:t>For most Americans, the term “Black Wall Street” will never be brought up in their education. Black Wall Street is often forgotten about and not talked about in history, even though the community-made history in itself. The community quickly became known as the first “self-sustaining community that supported hundreds of Black-owned businesses” in the early twentieth century (CITE NBC make it). African Americans ensured to create a safe space for them to prosper as they fought to escape Jim Crow Laws, segregation, and deep racism. Black Wall Street became a place where African Americans could succeed economically, but it did not last long, as whites became increasingly jealous. This community continued to prosper, and white Americans became increasingly violent towards the citizens of the Greenwood community. The successful community was rapidly destroyed by a mob of white men and black prosperity was destroyed with it. The chances of learning about Black Wall Street is very slim; the destruction of this community is buried deep in American history. It is known as “the single worst incident of racial violence in American history” (CITE NBC make it). Black Wall Street was proof that African Americans had the ability to prosper, just as white Americans could, and just like everything else, white America stripped that prosperity from African Americans because they were not viewed as equal to their racist counterparts.</w:t>
      </w:r>
    </w:p>
    <w:p w14:paraId="4C65B51D" w14:textId="77777777" w:rsidR="00881E58" w:rsidRDefault="00881E58" w:rsidP="00881E58">
      <w:pPr>
        <w:spacing w:line="240" w:lineRule="auto"/>
      </w:pPr>
      <w:r>
        <w:t xml:space="preserve">           In the late nineteenth century, African Americans were finally freed from slavery and began to find ways to establish their livelihood. Despite being freed, they still faced racism and mistreatment because of the color of their skin. The nation began to see masses of African Americans moved North, in an attempt to escape this mistreatment by white Americans. Black dominated cities began to pop up around the country, such as Chicago, Detroit, and New York City. These places were supposed to be safe havens for African Americans as they attempted to escape racial prejudice and find opportunities to flourish because they could not do so in the South. One particular place that provides this for African Americans was in Tulsa, Oklahoma. Tulsa became one of the places that African Americans migrating from the South began to settle in. In addition to black settlers finding their way to Tulsa, the state was experiencing an oil boom, bringing a great amount of wealth to the area (CITE NBC make it). There was a humongous amount of land available for purchase as Native Americans were pushed off of their reserves and </w:t>
      </w:r>
      <w:proofErr w:type="spellStart"/>
      <w:r>
        <w:t>Ottowa</w:t>
      </w:r>
      <w:proofErr w:type="spellEnd"/>
      <w:r>
        <w:t xml:space="preserve"> “O.W.” Gurley took advantage of this opportunity to buy land. Just like almost every other African American, Gurley left his “home” state Arkansas, where he was a slave, and settled in Oklahoma because he believed he “was unlikely to enjoy prosperity in the Jim Crow-era South” (CITE NBC make it). Unlike most of his other peers, Gurley had already established a successful life himself outside of Tulsa, but thanks to the oil boom, he made it his goal to purchase land that he would exclusively sell to African Americans. After purchasing 40 acres of land, he would begin to transform that land into the city of Greenwood, more popularly known as “Black Wall Street” (CITE NBC make it).</w:t>
      </w:r>
    </w:p>
    <w:p w14:paraId="74E1FE63" w14:textId="77777777" w:rsidR="00881E58" w:rsidRDefault="00881E58" w:rsidP="00881E58">
      <w:pPr>
        <w:spacing w:line="240" w:lineRule="auto"/>
      </w:pPr>
      <w:r>
        <w:t xml:space="preserve">           Black Wall Street shockingly became known to neighbor communities as prosperous. White communities frowned upon the city because African Americans were becoming progressively wealthier as the city continued to grow and prosper. The city was essentially viewed as a threat to white communities because it presented the opportunity for African Americans to be of a high status than them. This racial jealousy stemmed from the decades of viewing African Americans as lesser than and it is clear that Black Wall Street “wouldn’t have existed had it not been for…the inability of Black folks to participate to a substantial degree in the larger white-dominated economy” (CITE NBC make it). Part of the reason why Black Wall Street was able to prosper the way it did is that Gurley served as a loan service for the black entrepreneurs in the city. As expected, the chances of African Americans being able to borrow money from banks, in an area so close to the South, was so minimal. Without Gurley provided loans for these entrepreneurs to start their businesses, Black Wall Street would not have been as successful as it was and there would be no history of the destruction of it. The city was made </w:t>
      </w:r>
      <w:r>
        <w:lastRenderedPageBreak/>
        <w:t>up of hundreds of black businesses, as it was created to be “for black people by black people” (CITE NBC make it).</w:t>
      </w:r>
    </w:p>
    <w:p w14:paraId="1CE9088A" w14:textId="77777777" w:rsidR="00881E58" w:rsidRDefault="00881E58" w:rsidP="00881E58">
      <w:pPr>
        <w:spacing w:line="240" w:lineRule="auto"/>
      </w:pPr>
      <w:r>
        <w:t xml:space="preserve">            Gurley and many other black entrepreneurs operated many black-owned businesses which allowed Tulsa’s African American community to thrive. More than 300 businesses, including theaters, doctor offices, and banks were created by Gurley and his entourage of black entrepreneurs. The Greenwood district eventually became “a center of Black business and wealth” which included the creation of the largest black-owned/operated hotel in America, featuring gambling halls, a salon, and a stage for Jazz performances (CITE NBC make it); This property was built by J.B </w:t>
      </w:r>
      <w:proofErr w:type="spellStart"/>
      <w:r>
        <w:t>Stradford</w:t>
      </w:r>
      <w:proofErr w:type="spellEnd"/>
      <w:r>
        <w:t xml:space="preserve">, who like Gurley, built rental properties. As the district population grew, Gurley’s fortune was worth a pretty penny which would’ve amounted to about $2.7 million. The district's popularity and success caught the attention of Booker T. Washington to create the name </w:t>
      </w:r>
      <w:proofErr w:type="gramStart"/>
      <w:r>
        <w:t>“ Negro</w:t>
      </w:r>
      <w:proofErr w:type="gramEnd"/>
      <w:r>
        <w:t xml:space="preserve"> Wall Street” which was later known as “Black Wall Street”. Although Tulsa residents may have owned many successful businesses, a lot of those residents lived poorly in shacks.</w:t>
      </w:r>
    </w:p>
    <w:p w14:paraId="32F95141" w14:textId="77777777" w:rsidR="00881E58" w:rsidRDefault="00881E58" w:rsidP="00881E58">
      <w:pPr>
        <w:spacing w:line="240" w:lineRule="auto"/>
      </w:pPr>
      <w:r>
        <w:t xml:space="preserve">                  Two years before the Tulsa Massacre, the Red Summer of 1919 occurred “were riots and mob violence erupted in major cities” killing hundreds of people while a large majority of them being African American. The incident which sparked the violence happened days prior where a young African American male named Dick Rowland was falsely accused of assaulting a white woman while in an elevator. Reports say Rowland accidentally came in contact with the woman causing her to scream. Rowland was later arrested “after a Tulsa newspaper article falsely claimed that Rowland raped the woman in the elevator.” (CITE NBC make it) After learning this, Tulsa residents feared that the young man would be lynched in front of the city’s courthouse. Confrontations broke out in front of the courthouse between black and white groups resulting in shots being fired. After shots were fired, white mobs rapidly spread throughout Tulsa killing any black people they came across. June 1, 1921, mobs charged into the Greenwood District and burned most of the neighborhood down while attacking and shooting black residents</w:t>
      </w:r>
    </w:p>
    <w:p w14:paraId="21AEEA28" w14:textId="77777777" w:rsidR="00881E58" w:rsidRDefault="00881E58" w:rsidP="00881E58">
      <w:pPr>
        <w:spacing w:line="240" w:lineRule="auto"/>
      </w:pPr>
      <w:r>
        <w:t xml:space="preserve">; Lasted nearly 24 hours after ruining businesses and neighborhoods. Almost 300 Tulsa residents, mostly African American, were either killed or injured. More than “1,200 homes were burned to leave most of the Greenwood District residents homeless” (CITE NBC make </w:t>
      </w:r>
      <w:proofErr w:type="gramStart"/>
      <w:r>
        <w:t>it )</w:t>
      </w:r>
      <w:proofErr w:type="gramEnd"/>
      <w:r>
        <w:t>. Property damage “ranged from $1.5m to $2m” but $25m in present times. (CITE the guardian). Some survivors reported having seen attackers with machine guns and firebombs. In the early morning significant length of June 1, 1921, Oklahoma Governor James A. Robertson acquired National Guard troops and articulated military law. The National Guard, similarly as close by law necessity and other white occupants assigned by them, begun crippling and catching every person of shading and moving them to internment camps arranged at the Convention Hall, the McNulty Baseball Park, or the jubilee. This internment empowered pulverization and downfall, leaving dim tenants, overshadowed by more than 20 to 1, without the ability to secure their home, and property</w:t>
      </w:r>
    </w:p>
    <w:p w14:paraId="4E59B535" w14:textId="77777777" w:rsidR="00881E58" w:rsidRDefault="00881E58" w:rsidP="00881E58">
      <w:pPr>
        <w:spacing w:line="240" w:lineRule="auto"/>
      </w:pPr>
      <w:r>
        <w:t xml:space="preserve">           During the attack, white men pulled numerous people shading in their nightclothes from their beds on the white piece of town, in homes where they lived as local workers, yelling at and truly beating them before hauling them away to internment at various territories downtown. Others liberally spread light oil or fuel inside Greenwood homes and associations and subsequently lit them burning. Once in the camps, dim Tulsans couldn't leave without the approval of white directors. Right when they left, they were expected to wear green distinctive confirmation marks. By June 7, 7,500 marks had been given. The American Red Cross, which ran the internment camps, declared that incredibly numerous dull Tulsans, by then dejected, needed to experience months, or from time to time longer than a year and through the colder season, in the camps, in tents. Many suffered from disease and the absence of solid food in the camps. During a six-month period of time after the viciousness began, the Red Cross reported "eight away from of inauspicious work that achieved the death of kids" and that "of the maternity </w:t>
      </w:r>
      <w:r>
        <w:lastRenderedPageBreak/>
        <w:t>cases given thought by Red Cross authorities, in every practical sense, all have presented bothers as a result of the turmoil."</w:t>
      </w:r>
    </w:p>
    <w:p w14:paraId="62898054" w14:textId="77777777" w:rsidR="00881E58" w:rsidRDefault="00881E58" w:rsidP="00881E58">
      <w:pPr>
        <w:spacing w:line="240" w:lineRule="auto"/>
      </w:pPr>
      <w:r>
        <w:t xml:space="preserve">           Various Greenwood occupants kept cash in their homes, somewhat since they didn't trust in white-had banks, according to the makers. White swarms took money and resources from Black nuclear families. The groups crushed more than 1,200 homes across 35 city blocks, and another 314 homes were pillaged. Some Black families from Greenwood became American untouchables in America, living in Red Cross tents. Police and National Guard units confined other Black occupants. Others fled Tulsa. Quickly, white thieves had executed Black wealth in Greenwood. This implies that almost all their wealth was looted during that massacre.</w:t>
      </w:r>
    </w:p>
    <w:p w14:paraId="500CFAB2" w14:textId="77777777" w:rsidR="00881E58" w:rsidRDefault="00881E58" w:rsidP="00881E58">
      <w:pPr>
        <w:spacing w:line="240" w:lineRule="auto"/>
      </w:pPr>
      <w:r>
        <w:t xml:space="preserve">           The Tulsa Race Massacre Commission asserted in its report that Tulsa specialists, and the numerous whites they appointed, participated in the fierceness—occasionally giving weapons and ammunition to people, all of them white—who pillaged, executed, and crushed property.[39] It is like manner found that no one was ever arraigned or rebuked for the savage criminal acts. Right when Governor Robertson visited Tulsa on June 2, he mentioned that a fantastic jury is empaneled and put the main lawful official S.P. Feeling in charge. The whole of the 12 men decided for the board on June 9, 1921, were white. Following a couple of long periods of the announcement, the jury arraigned more than 85 people the bigger part black by and large for revolting, passing on weapons, looting, and illicit fire. A huge bit of the indictments </w:t>
      </w:r>
      <w:proofErr w:type="gramStart"/>
      <w:r>
        <w:t>were</w:t>
      </w:r>
      <w:proofErr w:type="gramEnd"/>
      <w:r>
        <w:t xml:space="preserve"> in the end pardoned or not searched in the wake of, including the arraignment against Rowland, as the people who had the complaints never came forward.</w:t>
      </w:r>
    </w:p>
    <w:p w14:paraId="1CFA52E3" w14:textId="77777777" w:rsidR="00881E58" w:rsidRDefault="00881E58" w:rsidP="00881E58">
      <w:pPr>
        <w:spacing w:line="240" w:lineRule="auto"/>
      </w:pPr>
      <w:r>
        <w:t xml:space="preserve">           For quite a while after the massacre, there was some dispute about whether the scene should be implied as a massacre or a "riot." Early reports insinuated the event as the "Tulsa Race Riot," with the Tulsa Historical Society observing that such expressing may have been used for assurance purposes, as a horde would not have required protection offices to pay out favorable circumstances to Black tenants whose homes and associations were seared.</w:t>
      </w:r>
    </w:p>
    <w:p w14:paraId="4A4A883C" w14:textId="77777777" w:rsidR="00881E58" w:rsidRDefault="00881E58" w:rsidP="00881E58">
      <w:pPr>
        <w:spacing w:line="240" w:lineRule="auto"/>
      </w:pPr>
      <w:r>
        <w:t xml:space="preserve">           The Greenwood District was over the long haul altered by Black tenants who wouldn't leave the city, starting after the massacre, with a few structures changed before the completion of 1921. By 1925, Greenwood encouraged the yearly gathering of Booker T. Washington's National Negro Business League and, by 1942, the zone paraded more than 200 Black-asserted associations, as demonstrated by a report from the state's 1921 Tulsa Race Riot Centennial Commission. All things considered, a large number of the area's enduring Black occupants never completely recuperated the abundance that was lost in the midst of the plundering and pulverization.</w:t>
      </w:r>
    </w:p>
    <w:p w14:paraId="2859415C" w14:textId="77777777" w:rsidR="00881E58" w:rsidRDefault="00881E58" w:rsidP="00881E58">
      <w:pPr>
        <w:spacing w:line="240" w:lineRule="auto"/>
      </w:pPr>
      <w:r>
        <w:t xml:space="preserve">           Concerning individual entrepreneurs, Gurley and </w:t>
      </w:r>
      <w:proofErr w:type="spellStart"/>
      <w:r>
        <w:t>Stradford</w:t>
      </w:r>
      <w:proofErr w:type="spellEnd"/>
      <w:r>
        <w:t xml:space="preserve"> obviously lost their fortunes in the brutality and decimation, and both left Tulsa. </w:t>
      </w:r>
      <w:proofErr w:type="spellStart"/>
      <w:r>
        <w:t>Stradford</w:t>
      </w:r>
      <w:proofErr w:type="spellEnd"/>
      <w:r>
        <w:t xml:space="preserve"> moved to Chicago, where he set up a viable law practice. Gurley moved to Los Angeles, where little is thought about what he did before he kicked the container in 1935. Smitherman's paper press, business, and home were totally pulverized in the butcher. He left Tulsa in the wake of, disappearing to Massachusetts while purportedly defying some deficiency from Tulsa specialists for instigating the mercilessness since his paper pushed for Black Americans to arm themselves and make history bat for their advantages.</w:t>
      </w:r>
    </w:p>
    <w:p w14:paraId="032D3EEB" w14:textId="77777777" w:rsidR="00881E58" w:rsidRDefault="00881E58" w:rsidP="00881E58">
      <w:pPr>
        <w:spacing w:line="240" w:lineRule="auto"/>
      </w:pPr>
      <w:r>
        <w:t xml:space="preserve">           The Dreamland Theater was redone by the organization after the massacre, yet the theater and countless the changing neighborhood associations in the end shut down several numerous years sometime later. As Tulsa moved toward the mid-century mark, extending coordination the country over inferred that Black occupants not, now expected to simply experience their money at Black-guaranteed associations, which sent money outside of the organization. Similarly, Tulsa (similarly to other distinctive U.S. metropolitan regions) zeroed in on "metropolitan energizing" plans during the 1960s and '70s that annihilated an enormous portion of the Greenwood District to make a way for public works adventures, recollecting the advancement of a critical avenue for the 1960s that cut straightforwardly through the region.</w:t>
      </w:r>
    </w:p>
    <w:p w14:paraId="79D35E56" w14:textId="77777777" w:rsidR="00881E58" w:rsidRDefault="00881E58" w:rsidP="00881E58">
      <w:pPr>
        <w:spacing w:line="240" w:lineRule="auto"/>
      </w:pPr>
      <w:r>
        <w:lastRenderedPageBreak/>
        <w:t xml:space="preserve">           In 1997 a Tulsa Race Riot Commission was sketched out by the zone of Oklahoma to investigate the massacre and definitively report the scene. Individuals from the commission amassed records of survivors who were up to this point alive, reports from people who saw the massacre, at any rate, had since kicked the can, and other genuine proof. Researchers utilized the records of witnesses and ground-infiltrating radar to find a potential mass grave simply outer Tulsa's Oaklawn Cemetery, recommending the loss of life might be a lot higher than the essential records show. In its starter recommendation, the commission proposed that the area of Oklahoma pay $33 million in compensation, some of it to the 121 enduring misfortunes who had been found. Regardless, no administrative move was ever developed on the proposal, and the commission had no capacity to oblige the foundation. In April 2002 a private extreme foundation, the Tulsa Metropolitan Ministry, paid a measure of $28,000 to the survivors, somewhat more than $200 each, utilizing spares raised from private enrichments.</w:t>
      </w:r>
    </w:p>
    <w:p w14:paraId="3CD70673" w14:textId="77777777" w:rsidR="00881E58" w:rsidRDefault="00881E58" w:rsidP="00881E58">
      <w:pPr>
        <w:spacing w:line="240" w:lineRule="auto"/>
      </w:pPr>
      <w:r>
        <w:t xml:space="preserve">           </w:t>
      </w:r>
    </w:p>
    <w:p w14:paraId="201F4844" w14:textId="77777777" w:rsidR="00881E58" w:rsidRDefault="00881E58" w:rsidP="00881E58">
      <w:pPr>
        <w:spacing w:line="240" w:lineRule="auto"/>
      </w:pPr>
      <w:r>
        <w:t xml:space="preserve">           In 2001, an Oklahoma state commission to inspect the 1921 massacre passed on a reality finding report planned to legitimately see the miserable event following a long time of it being ignored by the local government. The commission found that some sort of reparations should be made to the massacre's survivors and their family members. Regardless, a regulatory adjudicator controlled against the commission's calls for reparations in a 2004 choice, and get-togethers, for instance, the Human Rights Watch are up 'til now moving toward the public position to offer a sort of reparations to the butcher's survivors.</w:t>
      </w:r>
    </w:p>
    <w:p w14:paraId="6B240E0D" w14:textId="77777777" w:rsidR="00881E58" w:rsidRDefault="00881E58" w:rsidP="00881E58">
      <w:pPr>
        <w:spacing w:line="240" w:lineRule="auto"/>
      </w:pPr>
    </w:p>
    <w:p w14:paraId="613BEF26" w14:textId="77777777" w:rsidR="00881E58" w:rsidRDefault="00881E58" w:rsidP="00881E58">
      <w:pPr>
        <w:spacing w:line="240" w:lineRule="auto"/>
      </w:pPr>
      <w:r>
        <w:t xml:space="preserve">Notwithstanding, for some drawn-out Greenwood occupants, restoration isn't a bargain. Honestly, recharging can routinely be a codeword at the progress that expenses and pushes out organization associations, especially those controlled by Black occupants. Ideally, it might be a kind of destruction. A couple of sources have guessed that the massacre was a decided undertaking by the city to clutch the land, one that has taken on another, contemporary structure. "Progressed improvement and metropolitan reviving endeavors, even more consistently suggested in North Tulsa as 'metropolitan departure,' continue endeavoring to gobble up what is left of Greenwood," </w:t>
      </w:r>
      <w:proofErr w:type="spellStart"/>
      <w:r>
        <w:t>Odewale</w:t>
      </w:r>
      <w:proofErr w:type="spellEnd"/>
      <w:r>
        <w:t xml:space="preserve"> says, adding that those "restoration" tries aren't engaged to who they should be. "The sensibility markers passed on by the City of Tulsa dependably keep showing that North Tulsans and South Tulsans are proceeding with unique proceeds with in what appears as two unmistakable metropolitan networks…. Tragically, Black occupants in North Tulsa tumble to the lower part of every estimation."</w:t>
      </w:r>
    </w:p>
    <w:p w14:paraId="53526A55" w14:textId="77777777" w:rsidR="00881E58" w:rsidRDefault="00881E58" w:rsidP="00881E58">
      <w:pPr>
        <w:spacing w:line="240" w:lineRule="auto"/>
      </w:pPr>
    </w:p>
    <w:p w14:paraId="01823157" w14:textId="778A7410" w:rsidR="00731CDC" w:rsidRDefault="00881E58" w:rsidP="00881E58">
      <w:pPr>
        <w:spacing w:line="240" w:lineRule="auto"/>
      </w:pPr>
      <w:r>
        <w:t xml:space="preserve">           It took 80 years for the city to convey an official report on the massacre, which proposed various sorts of remuneration, including financial reparations for survivors and their families. Requires those reparations have been pardoned at various levels of the value system, including the U.S. High Court. </w:t>
      </w:r>
      <w:proofErr w:type="spellStart"/>
      <w:r>
        <w:t>Odewale's</w:t>
      </w:r>
      <w:proofErr w:type="spellEnd"/>
      <w:r>
        <w:t xml:space="preserve"> sharp perspective on the habits wherein racial wounds of the past create and take structure in the present is farsighted for an entire country flooding with scenes of White-on-Black brutality, like the city-wide commotions in Detroit in 1943, which by and large adversely influenced Paradise Valley, a Black zone. It edifies real factors about the associations among separation and law execution, land adversity and land theft, improvement, and history.</w:t>
      </w:r>
    </w:p>
    <w:p w14:paraId="15937650" w14:textId="77777777" w:rsidR="00731CDC" w:rsidRDefault="00731CDC">
      <w:r>
        <w:br w:type="page"/>
      </w:r>
    </w:p>
    <w:p w14:paraId="2617BBC0" w14:textId="4AA33469" w:rsidR="00881E58" w:rsidRDefault="00731CDC" w:rsidP="00731CDC">
      <w:pPr>
        <w:spacing w:line="240" w:lineRule="auto"/>
        <w:jc w:val="center"/>
      </w:pPr>
      <w:r>
        <w:lastRenderedPageBreak/>
        <w:t>References</w:t>
      </w:r>
    </w:p>
    <w:p w14:paraId="3A0B6860" w14:textId="77777777" w:rsidR="00731CDC" w:rsidRDefault="00731CDC" w:rsidP="00731CDC">
      <w:pPr>
        <w:spacing w:line="240" w:lineRule="auto"/>
        <w:ind w:left="720" w:hanging="720"/>
      </w:pPr>
      <w:r>
        <w:rPr>
          <w:color w:val="222222"/>
          <w:sz w:val="20"/>
          <w:szCs w:val="20"/>
          <w:shd w:val="clear" w:color="auto" w:fill="FFFFFF"/>
        </w:rPr>
        <w:t xml:space="preserve">Brown, N. L., &amp; </w:t>
      </w:r>
      <w:proofErr w:type="spellStart"/>
      <w:r>
        <w:rPr>
          <w:color w:val="222222"/>
          <w:sz w:val="20"/>
          <w:szCs w:val="20"/>
          <w:shd w:val="clear" w:color="auto" w:fill="FFFFFF"/>
        </w:rPr>
        <w:t>Stentiford</w:t>
      </w:r>
      <w:proofErr w:type="spellEnd"/>
      <w:r>
        <w:rPr>
          <w:color w:val="222222"/>
          <w:sz w:val="20"/>
          <w:szCs w:val="20"/>
          <w:shd w:val="clear" w:color="auto" w:fill="FFFFFF"/>
        </w:rPr>
        <w:t>, B. M. (Eds.). (2008). </w:t>
      </w:r>
      <w:r>
        <w:rPr>
          <w:i/>
          <w:iCs/>
          <w:color w:val="222222"/>
          <w:sz w:val="20"/>
          <w:szCs w:val="20"/>
          <w:shd w:val="clear" w:color="auto" w:fill="FFFFFF"/>
        </w:rPr>
        <w:t>The Jim Crow Encyclopedia: Greenwood Milestones in African American History [2 volumes]: Greenwood Milestones in African American History</w:t>
      </w:r>
      <w:r>
        <w:rPr>
          <w:color w:val="222222"/>
          <w:sz w:val="20"/>
          <w:szCs w:val="20"/>
          <w:shd w:val="clear" w:color="auto" w:fill="FFFFFF"/>
        </w:rPr>
        <w:t>. ABC-CLIO.</w:t>
      </w:r>
    </w:p>
    <w:p w14:paraId="62AFF01B" w14:textId="77777777" w:rsidR="00731CDC" w:rsidRDefault="00731CDC" w:rsidP="00731CDC">
      <w:pPr>
        <w:spacing w:line="240" w:lineRule="auto"/>
        <w:ind w:left="720" w:hanging="720"/>
        <w:rPr>
          <w:color w:val="222222"/>
          <w:sz w:val="20"/>
          <w:szCs w:val="20"/>
          <w:shd w:val="clear" w:color="auto" w:fill="FFFFFF"/>
        </w:rPr>
      </w:pPr>
      <w:proofErr w:type="spellStart"/>
      <w:r>
        <w:rPr>
          <w:color w:val="222222"/>
          <w:sz w:val="20"/>
          <w:szCs w:val="20"/>
          <w:shd w:val="clear" w:color="auto" w:fill="FFFFFF"/>
        </w:rPr>
        <w:t>Haase</w:t>
      </w:r>
      <w:proofErr w:type="spellEnd"/>
      <w:r>
        <w:rPr>
          <w:color w:val="222222"/>
          <w:sz w:val="20"/>
          <w:szCs w:val="20"/>
          <w:shd w:val="clear" w:color="auto" w:fill="FFFFFF"/>
        </w:rPr>
        <w:t>, D. (Ed.). (2007). </w:t>
      </w:r>
      <w:r>
        <w:rPr>
          <w:i/>
          <w:iCs/>
          <w:color w:val="222222"/>
          <w:sz w:val="20"/>
          <w:szCs w:val="20"/>
          <w:shd w:val="clear" w:color="auto" w:fill="FFFFFF"/>
        </w:rPr>
        <w:t>The Greenwood Encyclopedia of Folktales and Fairy Tales [3 Volumes]</w:t>
      </w:r>
      <w:r>
        <w:rPr>
          <w:color w:val="222222"/>
          <w:sz w:val="20"/>
          <w:szCs w:val="20"/>
          <w:shd w:val="clear" w:color="auto" w:fill="FFFFFF"/>
        </w:rPr>
        <w:t>. Greenwood Publishing Group.</w:t>
      </w:r>
    </w:p>
    <w:p w14:paraId="129B35B8" w14:textId="77777777" w:rsidR="00731CDC" w:rsidRDefault="00731CDC" w:rsidP="00731CDC">
      <w:pPr>
        <w:spacing w:line="240" w:lineRule="auto"/>
        <w:ind w:left="720" w:hanging="720"/>
        <w:rPr>
          <w:color w:val="222222"/>
          <w:sz w:val="20"/>
          <w:szCs w:val="20"/>
          <w:shd w:val="clear" w:color="auto" w:fill="FFFFFF"/>
        </w:rPr>
      </w:pPr>
      <w:r>
        <w:rPr>
          <w:color w:val="222222"/>
          <w:sz w:val="20"/>
          <w:szCs w:val="20"/>
          <w:shd w:val="clear" w:color="auto" w:fill="FFFFFF"/>
        </w:rPr>
        <w:t>Messer, C. M., &amp; Bell, P. A. (2010). Mass media and governmental framing of riots: The case of Tulsa, 1921. </w:t>
      </w:r>
      <w:r>
        <w:rPr>
          <w:i/>
          <w:iCs/>
          <w:color w:val="222222"/>
          <w:sz w:val="20"/>
          <w:szCs w:val="20"/>
          <w:shd w:val="clear" w:color="auto" w:fill="FFFFFF"/>
        </w:rPr>
        <w:t>Journal of Black studies</w:t>
      </w:r>
      <w:r>
        <w:rPr>
          <w:color w:val="222222"/>
          <w:sz w:val="20"/>
          <w:szCs w:val="20"/>
          <w:shd w:val="clear" w:color="auto" w:fill="FFFFFF"/>
        </w:rPr>
        <w:t>, </w:t>
      </w:r>
      <w:r>
        <w:rPr>
          <w:i/>
          <w:iCs/>
          <w:color w:val="222222"/>
          <w:sz w:val="20"/>
          <w:szCs w:val="20"/>
          <w:shd w:val="clear" w:color="auto" w:fill="FFFFFF"/>
        </w:rPr>
        <w:t>40</w:t>
      </w:r>
      <w:r>
        <w:rPr>
          <w:color w:val="222222"/>
          <w:sz w:val="20"/>
          <w:szCs w:val="20"/>
          <w:shd w:val="clear" w:color="auto" w:fill="FFFFFF"/>
        </w:rPr>
        <w:t>(5), 851-870.</w:t>
      </w:r>
    </w:p>
    <w:p w14:paraId="67689B9F" w14:textId="77777777" w:rsidR="00731CDC" w:rsidRDefault="00731CDC" w:rsidP="00731CDC">
      <w:pPr>
        <w:spacing w:line="240" w:lineRule="auto"/>
        <w:ind w:left="720" w:hanging="720"/>
        <w:rPr>
          <w:color w:val="222222"/>
          <w:sz w:val="20"/>
          <w:szCs w:val="20"/>
          <w:shd w:val="clear" w:color="auto" w:fill="FFFFFF"/>
        </w:rPr>
      </w:pPr>
      <w:r>
        <w:rPr>
          <w:color w:val="222222"/>
          <w:sz w:val="20"/>
          <w:szCs w:val="20"/>
          <w:shd w:val="clear" w:color="auto" w:fill="FFFFFF"/>
        </w:rPr>
        <w:t>Owens, K. (2020). </w:t>
      </w:r>
      <w:r>
        <w:rPr>
          <w:i/>
          <w:iCs/>
          <w:color w:val="222222"/>
          <w:sz w:val="20"/>
          <w:szCs w:val="20"/>
          <w:shd w:val="clear" w:color="auto" w:fill="FFFFFF"/>
        </w:rPr>
        <w:t>The Successes and Failures of the United States to Grant Reparations to Greenwood, Oklahoma following the 1921 Destruction of Black Wall Street</w:t>
      </w:r>
      <w:r>
        <w:rPr>
          <w:color w:val="222222"/>
          <w:sz w:val="20"/>
          <w:szCs w:val="20"/>
          <w:shd w:val="clear" w:color="auto" w:fill="FFFFFF"/>
        </w:rPr>
        <w:t> (Doctoral dissertation, Georgetown University).</w:t>
      </w:r>
    </w:p>
    <w:sectPr w:rsidR="00731CDC" w:rsidSect="00731CDC">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88F9D" w14:textId="77777777" w:rsidR="000B771D" w:rsidRDefault="000B771D" w:rsidP="00731CDC">
      <w:pPr>
        <w:spacing w:line="240" w:lineRule="auto"/>
      </w:pPr>
      <w:r>
        <w:separator/>
      </w:r>
    </w:p>
  </w:endnote>
  <w:endnote w:type="continuationSeparator" w:id="0">
    <w:p w14:paraId="19810C94" w14:textId="77777777" w:rsidR="000B771D" w:rsidRDefault="000B771D" w:rsidP="00731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4FDD9" w14:textId="77777777" w:rsidR="000B771D" w:rsidRDefault="000B771D" w:rsidP="00731CDC">
      <w:pPr>
        <w:spacing w:line="240" w:lineRule="auto"/>
      </w:pPr>
      <w:r>
        <w:separator/>
      </w:r>
    </w:p>
  </w:footnote>
  <w:footnote w:type="continuationSeparator" w:id="0">
    <w:p w14:paraId="3C4FA39A" w14:textId="77777777" w:rsidR="000B771D" w:rsidRDefault="000B771D" w:rsidP="00731C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35D3A" w14:textId="7F92E3F2" w:rsidR="00731CDC" w:rsidRDefault="00B2573A" w:rsidP="00731CDC">
    <w:pPr>
      <w:pStyle w:val="Header"/>
      <w:jc w:val="center"/>
    </w:pPr>
    <w:r>
      <w:t>BLACK WALL STREET</w:t>
    </w:r>
    <w:r w:rsidR="00731CDC">
      <w:tab/>
    </w:r>
    <w:r w:rsidR="00731CDC">
      <w:tab/>
    </w:r>
    <w:sdt>
      <w:sdtPr>
        <w:id w:val="-1772313745"/>
        <w:docPartObj>
          <w:docPartGallery w:val="Page Numbers (Top of Page)"/>
          <w:docPartUnique/>
        </w:docPartObj>
      </w:sdtPr>
      <w:sdtEndPr>
        <w:rPr>
          <w:noProof/>
        </w:rPr>
      </w:sdtEndPr>
      <w:sdtContent>
        <w:r w:rsidR="00731CDC">
          <w:fldChar w:fldCharType="begin"/>
        </w:r>
        <w:r w:rsidR="00731CDC">
          <w:instrText xml:space="preserve"> PAGE   \* MERGEFORMAT </w:instrText>
        </w:r>
        <w:r w:rsidR="00731CDC">
          <w:fldChar w:fldCharType="separate"/>
        </w:r>
        <w:r>
          <w:rPr>
            <w:noProof/>
          </w:rPr>
          <w:t>6</w:t>
        </w:r>
        <w:r w:rsidR="00731CDC">
          <w:rPr>
            <w:noProof/>
          </w:rPr>
          <w:fldChar w:fldCharType="end"/>
        </w:r>
      </w:sdtContent>
    </w:sdt>
  </w:p>
  <w:p w14:paraId="2809848C" w14:textId="77777777" w:rsidR="00731CDC" w:rsidRDefault="00731C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F5D25" w14:textId="55F7BF33" w:rsidR="00731CDC" w:rsidRPr="00B2573A" w:rsidRDefault="00731CDC" w:rsidP="00B2573A">
    <w:pPr>
      <w:pStyle w:val="Header"/>
      <w:jc w:val="right"/>
      <w:rPr>
        <w:sz w:val="24"/>
        <w:szCs w:val="24"/>
      </w:rPr>
    </w:pPr>
    <w:r w:rsidRPr="00B2573A">
      <w:rPr>
        <w:sz w:val="24"/>
        <w:szCs w:val="24"/>
      </w:rPr>
      <w:t xml:space="preserve">Running head: </w:t>
    </w:r>
    <w:r w:rsidR="00B2573A" w:rsidRPr="00B2573A">
      <w:rPr>
        <w:sz w:val="24"/>
        <w:szCs w:val="24"/>
      </w:rPr>
      <w:t>BLACK WALL STREET</w:t>
    </w:r>
    <w:r w:rsidRPr="00B2573A">
      <w:rPr>
        <w:sz w:val="24"/>
        <w:szCs w:val="24"/>
      </w:rPr>
      <w:tab/>
    </w:r>
    <w:r w:rsidRPr="00B2573A">
      <w:rPr>
        <w:sz w:val="24"/>
        <w:szCs w:val="24"/>
      </w:rPr>
      <w:tab/>
    </w:r>
    <w:sdt>
      <w:sdtPr>
        <w:rPr>
          <w:sz w:val="24"/>
          <w:szCs w:val="24"/>
        </w:rPr>
        <w:id w:val="-1086835075"/>
        <w:docPartObj>
          <w:docPartGallery w:val="Page Numbers (Top of Page)"/>
          <w:docPartUnique/>
        </w:docPartObj>
      </w:sdtPr>
      <w:sdtEndPr>
        <w:rPr>
          <w:noProof/>
        </w:rPr>
      </w:sdtEndPr>
      <w:sdtContent>
        <w:r w:rsidRPr="00B2573A">
          <w:rPr>
            <w:sz w:val="24"/>
            <w:szCs w:val="24"/>
          </w:rPr>
          <w:fldChar w:fldCharType="begin"/>
        </w:r>
        <w:r w:rsidRPr="00B2573A">
          <w:rPr>
            <w:sz w:val="24"/>
            <w:szCs w:val="24"/>
          </w:rPr>
          <w:instrText xml:space="preserve"> PAGE   \* MERGEFORMAT </w:instrText>
        </w:r>
        <w:r w:rsidRPr="00B2573A">
          <w:rPr>
            <w:sz w:val="24"/>
            <w:szCs w:val="24"/>
          </w:rPr>
          <w:fldChar w:fldCharType="separate"/>
        </w:r>
        <w:r w:rsidR="00B2573A">
          <w:rPr>
            <w:noProof/>
            <w:sz w:val="24"/>
            <w:szCs w:val="24"/>
          </w:rPr>
          <w:t>1</w:t>
        </w:r>
        <w:r w:rsidRPr="00B2573A">
          <w:rPr>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798"/>
    <w:rsid w:val="000B771D"/>
    <w:rsid w:val="00487995"/>
    <w:rsid w:val="00731CDC"/>
    <w:rsid w:val="008011D2"/>
    <w:rsid w:val="00881E58"/>
    <w:rsid w:val="008B4798"/>
    <w:rsid w:val="009C77A3"/>
    <w:rsid w:val="00B2573A"/>
    <w:rsid w:val="00C11C73"/>
    <w:rsid w:val="00E0693B"/>
    <w:rsid w:val="00EF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90A4"/>
  <w15:docId w15:val="{5D81B222-1574-4615-AB8B-E950A8F1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881E58"/>
    <w:rPr>
      <w:sz w:val="16"/>
      <w:szCs w:val="16"/>
    </w:rPr>
  </w:style>
  <w:style w:type="paragraph" w:styleId="CommentText">
    <w:name w:val="annotation text"/>
    <w:basedOn w:val="Normal"/>
    <w:link w:val="CommentTextChar"/>
    <w:uiPriority w:val="99"/>
    <w:semiHidden/>
    <w:unhideWhenUsed/>
    <w:rsid w:val="00881E58"/>
    <w:pPr>
      <w:spacing w:line="240" w:lineRule="auto"/>
    </w:pPr>
    <w:rPr>
      <w:sz w:val="20"/>
      <w:szCs w:val="20"/>
    </w:rPr>
  </w:style>
  <w:style w:type="character" w:customStyle="1" w:styleId="CommentTextChar">
    <w:name w:val="Comment Text Char"/>
    <w:basedOn w:val="DefaultParagraphFont"/>
    <w:link w:val="CommentText"/>
    <w:uiPriority w:val="99"/>
    <w:semiHidden/>
    <w:rsid w:val="00881E58"/>
    <w:rPr>
      <w:sz w:val="20"/>
      <w:szCs w:val="20"/>
    </w:rPr>
  </w:style>
  <w:style w:type="paragraph" w:styleId="CommentSubject">
    <w:name w:val="annotation subject"/>
    <w:basedOn w:val="CommentText"/>
    <w:next w:val="CommentText"/>
    <w:link w:val="CommentSubjectChar"/>
    <w:uiPriority w:val="99"/>
    <w:semiHidden/>
    <w:unhideWhenUsed/>
    <w:rsid w:val="00881E58"/>
    <w:rPr>
      <w:b/>
      <w:bCs/>
    </w:rPr>
  </w:style>
  <w:style w:type="character" w:customStyle="1" w:styleId="CommentSubjectChar">
    <w:name w:val="Comment Subject Char"/>
    <w:basedOn w:val="CommentTextChar"/>
    <w:link w:val="CommentSubject"/>
    <w:uiPriority w:val="99"/>
    <w:semiHidden/>
    <w:rsid w:val="00881E58"/>
    <w:rPr>
      <w:b/>
      <w:bCs/>
      <w:sz w:val="20"/>
      <w:szCs w:val="20"/>
    </w:rPr>
  </w:style>
  <w:style w:type="paragraph" w:styleId="BalloonText">
    <w:name w:val="Balloon Text"/>
    <w:basedOn w:val="Normal"/>
    <w:link w:val="BalloonTextChar"/>
    <w:uiPriority w:val="99"/>
    <w:semiHidden/>
    <w:unhideWhenUsed/>
    <w:rsid w:val="00881E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E58"/>
    <w:rPr>
      <w:rFonts w:ascii="Segoe UI" w:hAnsi="Segoe UI" w:cs="Segoe UI"/>
      <w:sz w:val="18"/>
      <w:szCs w:val="18"/>
    </w:rPr>
  </w:style>
  <w:style w:type="paragraph" w:styleId="Header">
    <w:name w:val="header"/>
    <w:basedOn w:val="Normal"/>
    <w:link w:val="HeaderChar"/>
    <w:uiPriority w:val="99"/>
    <w:unhideWhenUsed/>
    <w:rsid w:val="00731CDC"/>
    <w:pPr>
      <w:tabs>
        <w:tab w:val="center" w:pos="4680"/>
        <w:tab w:val="right" w:pos="9360"/>
      </w:tabs>
      <w:spacing w:line="240" w:lineRule="auto"/>
    </w:pPr>
  </w:style>
  <w:style w:type="character" w:customStyle="1" w:styleId="HeaderChar">
    <w:name w:val="Header Char"/>
    <w:basedOn w:val="DefaultParagraphFont"/>
    <w:link w:val="Header"/>
    <w:uiPriority w:val="99"/>
    <w:rsid w:val="00731CDC"/>
  </w:style>
  <w:style w:type="paragraph" w:styleId="Footer">
    <w:name w:val="footer"/>
    <w:basedOn w:val="Normal"/>
    <w:link w:val="FooterChar"/>
    <w:uiPriority w:val="99"/>
    <w:unhideWhenUsed/>
    <w:rsid w:val="00731CDC"/>
    <w:pPr>
      <w:tabs>
        <w:tab w:val="center" w:pos="4680"/>
        <w:tab w:val="right" w:pos="9360"/>
      </w:tabs>
      <w:spacing w:line="240" w:lineRule="auto"/>
    </w:pPr>
  </w:style>
  <w:style w:type="character" w:customStyle="1" w:styleId="FooterChar">
    <w:name w:val="Footer Char"/>
    <w:basedOn w:val="DefaultParagraphFont"/>
    <w:link w:val="Footer"/>
    <w:uiPriority w:val="99"/>
    <w:rsid w:val="00731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2629</Words>
  <Characters>14990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Anselms Muli</dc:creator>
  <cp:lastModifiedBy>user</cp:lastModifiedBy>
  <cp:revision>2</cp:revision>
  <dcterms:created xsi:type="dcterms:W3CDTF">2020-11-26T19:44:00Z</dcterms:created>
  <dcterms:modified xsi:type="dcterms:W3CDTF">2020-11-26T19:44:00Z</dcterms:modified>
</cp:coreProperties>
</file>